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A3" w:rsidRDefault="008352BC">
      <w:pPr>
        <w:adjustRightInd w:val="0"/>
        <w:snapToGrid w:val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2020年开发区·铁山区档案馆</w:t>
      </w:r>
      <w:r w:rsidR="00DA3777">
        <w:rPr>
          <w:rFonts w:ascii="方正小标宋_GBK" w:eastAsia="方正小标宋_GBK" w:hAnsi="方正小标宋_GBK" w:cs="方正小标宋_GBK" w:hint="eastAsia"/>
          <w:sz w:val="36"/>
          <w:szCs w:val="36"/>
        </w:rPr>
        <w:t>政府信息公开年度报告</w:t>
      </w:r>
    </w:p>
    <w:p w:rsidR="005372A3" w:rsidRDefault="005372A3">
      <w:pPr>
        <w:adjustRightInd w:val="0"/>
        <w:snapToGrid w:val="0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5372A3" w:rsidRDefault="00DA3777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:rsidR="008352BC" w:rsidRPr="008352BC" w:rsidRDefault="008352BC" w:rsidP="008352B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352BC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Pr="008352BC">
        <w:rPr>
          <w:rFonts w:ascii="仿宋_GB2312" w:eastAsia="仿宋_GB2312" w:hAnsi="仿宋_GB2312" w:cs="仿宋_GB2312" w:hint="eastAsia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我馆政府信息公开工作坚持</w:t>
      </w:r>
      <w:r w:rsidRPr="008352BC">
        <w:rPr>
          <w:rFonts w:ascii="仿宋_GB2312" w:eastAsia="仿宋_GB2312" w:hAnsi="仿宋_GB2312" w:cs="仿宋_GB2312" w:hint="eastAsia"/>
          <w:sz w:val="32"/>
          <w:szCs w:val="32"/>
        </w:rPr>
        <w:t>以</w:t>
      </w:r>
      <w:r w:rsidR="00DC7847">
        <w:rPr>
          <w:rFonts w:ascii="仿宋_GB2312" w:eastAsia="仿宋_GB2312" w:hAnsi="仿宋_GB2312" w:cs="仿宋_GB2312" w:hint="eastAsia"/>
          <w:sz w:val="32"/>
          <w:szCs w:val="32"/>
        </w:rPr>
        <w:t>习近平新时代中国特色社会主义思想为指导，认真贯彻落实党的十九大和</w:t>
      </w:r>
      <w:r w:rsidRPr="008352BC">
        <w:rPr>
          <w:rFonts w:ascii="仿宋_GB2312" w:eastAsia="仿宋_GB2312" w:hAnsi="仿宋_GB2312" w:cs="仿宋_GB2312" w:hint="eastAsia"/>
          <w:sz w:val="32"/>
          <w:szCs w:val="32"/>
        </w:rPr>
        <w:t>十九届二中、三中、四中全会精神，严格按照《中华人民共和国政府信息公开条例》</w:t>
      </w:r>
      <w:r>
        <w:rPr>
          <w:rFonts w:ascii="仿宋_GB2312" w:eastAsia="仿宋_GB2312" w:hAnsi="仿宋_GB2312" w:cs="仿宋_GB2312" w:hint="eastAsia"/>
          <w:sz w:val="32"/>
          <w:szCs w:val="32"/>
        </w:rPr>
        <w:t>和区委、区政府的</w:t>
      </w:r>
      <w:r w:rsidRPr="008352BC">
        <w:rPr>
          <w:rFonts w:ascii="仿宋_GB2312" w:eastAsia="仿宋_GB2312" w:hAnsi="仿宋_GB2312" w:cs="仿宋_GB2312" w:hint="eastAsia"/>
          <w:sz w:val="32"/>
          <w:szCs w:val="32"/>
        </w:rPr>
        <w:t>要求，高度重视政府信息公开工作，不断加大信息公开力度，拓展信息公开渠道，丰富信息公开内容，提高信息公开质量，持续推进政府信息公开工作规范化、标准化，现将工作情况总结如下。</w:t>
      </w:r>
    </w:p>
    <w:p w:rsidR="008352BC" w:rsidRPr="008352BC" w:rsidRDefault="008352BC" w:rsidP="008352B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352BC"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加强领导。</w:t>
      </w:r>
      <w:r w:rsidRPr="008352BC">
        <w:rPr>
          <w:rFonts w:ascii="仿宋_GB2312" w:eastAsia="仿宋_GB2312" w:hAnsi="仿宋_GB2312" w:cs="仿宋_GB2312" w:hint="eastAsia"/>
          <w:sz w:val="32"/>
          <w:szCs w:val="32"/>
        </w:rPr>
        <w:t>成立了由</w:t>
      </w:r>
      <w:r w:rsidR="00F00468">
        <w:rPr>
          <w:rFonts w:ascii="仿宋_GB2312" w:eastAsia="仿宋_GB2312" w:hAnsi="仿宋_GB2312" w:cs="仿宋_GB2312" w:hint="eastAsia"/>
          <w:sz w:val="32"/>
          <w:szCs w:val="32"/>
        </w:rPr>
        <w:t>党政办主任</w:t>
      </w:r>
      <w:r>
        <w:rPr>
          <w:rFonts w:ascii="仿宋_GB2312" w:eastAsia="仿宋_GB2312" w:hAnsi="仿宋_GB2312" w:cs="仿宋_GB2312" w:hint="eastAsia"/>
          <w:sz w:val="32"/>
          <w:szCs w:val="32"/>
        </w:rPr>
        <w:t>为主要负责人，</w:t>
      </w:r>
      <w:r w:rsidR="00F00468">
        <w:rPr>
          <w:rFonts w:ascii="仿宋_GB2312" w:eastAsia="仿宋_GB2312" w:hAnsi="仿宋_GB2312" w:cs="仿宋_GB2312" w:hint="eastAsia"/>
          <w:sz w:val="32"/>
          <w:szCs w:val="32"/>
        </w:rPr>
        <w:t>档案馆</w:t>
      </w:r>
      <w:r w:rsidRPr="008352BC">
        <w:rPr>
          <w:rFonts w:ascii="仿宋_GB2312" w:eastAsia="仿宋_GB2312" w:hAnsi="仿宋_GB2312" w:cs="仿宋_GB2312" w:hint="eastAsia"/>
          <w:sz w:val="32"/>
          <w:szCs w:val="32"/>
        </w:rPr>
        <w:t>具体协调负责政府信息公开工作，保证了2020年政府信息公开工作的有序推进，并取得较好成绩。</w:t>
      </w:r>
      <w:bookmarkStart w:id="0" w:name="_GoBack"/>
      <w:bookmarkEnd w:id="0"/>
    </w:p>
    <w:p w:rsidR="008352BC" w:rsidRPr="008352BC" w:rsidRDefault="008352BC" w:rsidP="008352B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352BC"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完善制度。</w:t>
      </w:r>
      <w:r w:rsidRPr="008352BC">
        <w:rPr>
          <w:rFonts w:ascii="仿宋_GB2312" w:eastAsia="仿宋_GB2312" w:hAnsi="仿宋_GB2312" w:cs="仿宋_GB2312" w:hint="eastAsia"/>
          <w:sz w:val="32"/>
          <w:szCs w:val="32"/>
        </w:rPr>
        <w:t>认真执行《信息公开保密审查制度》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、《开发区·铁山区档案查借阅制度》</w:t>
      </w:r>
      <w:r w:rsidRPr="008352BC">
        <w:rPr>
          <w:rFonts w:ascii="仿宋_GB2312" w:eastAsia="仿宋_GB2312" w:hAnsi="仿宋_GB2312" w:cs="仿宋_GB2312" w:hint="eastAsia"/>
          <w:sz w:val="32"/>
          <w:szCs w:val="32"/>
        </w:rPr>
        <w:t>等制度，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不断规范信息发布程序，</w:t>
      </w:r>
      <w:r w:rsidRPr="008352BC">
        <w:rPr>
          <w:rFonts w:ascii="仿宋_GB2312" w:eastAsia="仿宋_GB2312" w:hAnsi="仿宋_GB2312" w:cs="仿宋_GB2312" w:hint="eastAsia"/>
          <w:sz w:val="32"/>
          <w:szCs w:val="32"/>
        </w:rPr>
        <w:t>同时建立健全保密审查、依申请公开、评议考核、责任追究等配套工作制度，使政府信息公开工作做到有计划、有目标、有措施、有考核、有奖惩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352BC" w:rsidRPr="008352BC" w:rsidRDefault="008352BC" w:rsidP="008352B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352BC">
        <w:rPr>
          <w:rFonts w:ascii="仿宋_GB2312" w:eastAsia="仿宋_GB2312" w:hAnsi="仿宋_GB2312" w:cs="仿宋_GB2312" w:hint="eastAsia"/>
          <w:sz w:val="32"/>
          <w:szCs w:val="32"/>
        </w:rPr>
        <w:t>（三）提高服务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8352BC">
        <w:rPr>
          <w:rFonts w:ascii="仿宋_GB2312" w:eastAsia="仿宋_GB2312" w:hAnsi="仿宋_GB2312" w:cs="仿宋_GB2312" w:hint="eastAsia"/>
          <w:sz w:val="32"/>
          <w:szCs w:val="32"/>
        </w:rPr>
        <w:t>本着服务第一的原则，信息公开查阅中心不断改进服务手段、</w:t>
      </w:r>
      <w:r>
        <w:rPr>
          <w:rFonts w:ascii="仿宋_GB2312" w:eastAsia="仿宋_GB2312" w:hAnsi="仿宋_GB2312" w:cs="仿宋_GB2312" w:hint="eastAsia"/>
          <w:sz w:val="32"/>
          <w:szCs w:val="32"/>
        </w:rPr>
        <w:t>指定专人负责全馆政府信息公开工作，</w:t>
      </w:r>
      <w:r w:rsidRPr="008352BC">
        <w:rPr>
          <w:rFonts w:ascii="仿宋_GB2312" w:eastAsia="仿宋_GB2312" w:hAnsi="仿宋_GB2312" w:cs="仿宋_GB2312" w:hint="eastAsia"/>
          <w:sz w:val="32"/>
          <w:szCs w:val="32"/>
        </w:rPr>
        <w:t>以高度负责的工作态度，积极为查阅者答疑解惑，帮助查阅者依法依规查阅文件、合理维权。截至年底，</w:t>
      </w:r>
      <w:r>
        <w:rPr>
          <w:rFonts w:ascii="仿宋_GB2312" w:eastAsia="仿宋_GB2312" w:hAnsi="仿宋_GB2312" w:hint="eastAsia"/>
          <w:sz w:val="32"/>
          <w:szCs w:val="32"/>
        </w:rPr>
        <w:t>接待各单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>位查借阅档案资料、咨询档案业务近3715件</w:t>
      </w:r>
      <w:r w:rsidRPr="008352B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372A3" w:rsidRDefault="00DA3777" w:rsidP="008352BC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二、行政机关主动公开政府信息情况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3"/>
        <w:gridCol w:w="2097"/>
        <w:gridCol w:w="1290"/>
        <w:gridCol w:w="1640"/>
      </w:tblGrid>
      <w:tr w:rsidR="005372A3">
        <w:trPr>
          <w:trHeight w:val="495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第二十条第（一）项</w:t>
            </w:r>
          </w:p>
        </w:tc>
      </w:tr>
      <w:tr w:rsidR="005372A3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本年新</w:t>
            </w:r>
          </w:p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制作数量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本年新</w:t>
            </w:r>
          </w:p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公开数量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对外公开总数量</w:t>
            </w:r>
          </w:p>
        </w:tc>
      </w:tr>
      <w:tr w:rsidR="005372A3" w:rsidTr="008352BC">
        <w:trPr>
          <w:trHeight w:val="405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 w:rsidP="008352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5372A3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 w:rsidP="008352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规范性文件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5372A3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 w:rsidP="008352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其他主动公开文件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5372A3">
        <w:trPr>
          <w:trHeight w:val="480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第二十条第（五）项</w:t>
            </w:r>
          </w:p>
        </w:tc>
      </w:tr>
      <w:tr w:rsidR="005372A3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上一年项目数量</w:t>
            </w:r>
          </w:p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本年增/减</w:t>
            </w:r>
          </w:p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处理决定数量</w:t>
            </w:r>
          </w:p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372A3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5372A3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 w:rsidP="008352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其他对外管理服务事项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5372A3">
        <w:trPr>
          <w:trHeight w:val="406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第二十条第（六）项</w:t>
            </w:r>
          </w:p>
        </w:tc>
      </w:tr>
      <w:tr w:rsidR="005372A3">
        <w:trPr>
          <w:trHeight w:val="634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上一年项目数量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本年增/减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处理决定数量</w:t>
            </w:r>
          </w:p>
        </w:tc>
      </w:tr>
      <w:tr w:rsidR="005372A3">
        <w:trPr>
          <w:trHeight w:val="430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5372A3">
        <w:trPr>
          <w:trHeight w:val="409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5372A3">
        <w:trPr>
          <w:trHeight w:val="474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第二十条第（八）项</w:t>
            </w:r>
          </w:p>
        </w:tc>
      </w:tr>
      <w:tr w:rsidR="005372A3">
        <w:trPr>
          <w:trHeight w:val="270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上一年项目数量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72A3" w:rsidRDefault="00DA3777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本年增/减</w:t>
            </w:r>
          </w:p>
        </w:tc>
      </w:tr>
      <w:tr w:rsidR="005372A3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72A3" w:rsidRDefault="008352BC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5372A3">
        <w:trPr>
          <w:trHeight w:val="476"/>
          <w:jc w:val="center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第二十条第（九）项</w:t>
            </w:r>
          </w:p>
        </w:tc>
      </w:tr>
      <w:tr w:rsidR="005372A3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采购项目数量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72A3" w:rsidRDefault="00DA3777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采购总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金额</w:t>
            </w:r>
          </w:p>
        </w:tc>
      </w:tr>
      <w:tr w:rsidR="005372A3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政府集中采购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72A3" w:rsidRDefault="008352BC" w:rsidP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</w:tbl>
    <w:p w:rsidR="005372A3" w:rsidRDefault="005372A3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372A3" w:rsidRDefault="00DA3777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三、行政机关收到和处理政府信息公开申请情况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722"/>
        <w:gridCol w:w="1993"/>
        <w:gridCol w:w="826"/>
        <w:gridCol w:w="690"/>
        <w:gridCol w:w="690"/>
        <w:gridCol w:w="750"/>
        <w:gridCol w:w="905"/>
        <w:gridCol w:w="671"/>
        <w:gridCol w:w="657"/>
      </w:tblGrid>
      <w:tr w:rsidR="005372A3">
        <w:trPr>
          <w:jc w:val="center"/>
        </w:trPr>
        <w:tc>
          <w:tcPr>
            <w:tcW w:w="33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申请人情况</w:t>
            </w:r>
          </w:p>
        </w:tc>
      </w:tr>
      <w:tr w:rsidR="005372A3">
        <w:trPr>
          <w:jc w:val="center"/>
        </w:trPr>
        <w:tc>
          <w:tcPr>
            <w:tcW w:w="3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自然人</w:t>
            </w: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总计</w:t>
            </w:r>
          </w:p>
        </w:tc>
      </w:tr>
      <w:tr w:rsidR="005372A3">
        <w:trPr>
          <w:jc w:val="center"/>
        </w:trPr>
        <w:tc>
          <w:tcPr>
            <w:tcW w:w="3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商业企业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科研机构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社会公益组织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法律服务机构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其他</w:t>
            </w:r>
          </w:p>
        </w:tc>
        <w:tc>
          <w:tcPr>
            <w:tcW w:w="6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5372A3">
        <w:trPr>
          <w:jc w:val="center"/>
        </w:trPr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lastRenderedPageBreak/>
              <w:t>一、本年新收政府信息公开申请数量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5372A3">
        <w:trPr>
          <w:jc w:val="center"/>
        </w:trPr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二、上年结转政府信息公开申请数量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5372A3"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三、本年度办理结果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（一）予以公开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5372A3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5372A3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（三）不予公开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1.属于国家秘密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5372A3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2.其他法律行政法规禁止公开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5372A3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3.危及“三安全</w:t>
            </w:r>
            <w:proofErr w:type="gramStart"/>
            <w:r>
              <w:rPr>
                <w:rFonts w:ascii="宋体" w:hAnsi="宋体" w:cs="宋体" w:hint="eastAsia"/>
                <w:color w:val="333333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333333"/>
                <w:szCs w:val="21"/>
              </w:rPr>
              <w:t>稳定”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5372A3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4.保护第三方合法权益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5372A3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5.属于三类内部事务信息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5372A3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6.属于四类过程性信息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5372A3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7.属于行政执法案卷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5372A3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8.属于行政查询事项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5372A3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（四）无法提供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1.本机关不掌握相关政府信息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5372A3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2.没有现成信息需要另行制作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5372A3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3.补正后申请内容仍不明确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5372A3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（五）</w:t>
            </w:r>
            <w:proofErr w:type="gramStart"/>
            <w:r>
              <w:rPr>
                <w:rFonts w:ascii="宋体" w:hAnsi="宋体" w:cs="宋体" w:hint="eastAsia"/>
                <w:color w:val="333333"/>
                <w:szCs w:val="21"/>
              </w:rPr>
              <w:t>不予处理</w:t>
            </w:r>
            <w:proofErr w:type="gramEnd"/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1.信访举报投诉类申请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5372A3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2.重复申请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5372A3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3.要求提供公开出版物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5372A3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4.无正当理由大量反复申请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5372A3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5.要求行政机关确认或重新出具已获取信息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5372A3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（六）其他处理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5372A3">
        <w:trPr>
          <w:jc w:val="center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（七）总计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5372A3">
        <w:trPr>
          <w:jc w:val="center"/>
        </w:trPr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四、结转下年度继续办理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</w:tbl>
    <w:p w:rsidR="005372A3" w:rsidRDefault="005372A3" w:rsidP="008352BC">
      <w:pPr>
        <w:adjustRightInd w:val="0"/>
        <w:snapToGrid w:val="0"/>
        <w:spacing w:line="360" w:lineRule="auto"/>
        <w:rPr>
          <w:rFonts w:ascii="黑体" w:eastAsia="黑体" w:hAnsi="黑体" w:cs="黑体"/>
          <w:sz w:val="32"/>
          <w:szCs w:val="32"/>
        </w:rPr>
      </w:pPr>
    </w:p>
    <w:p w:rsidR="005372A3" w:rsidRDefault="00DA3777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四、因政府信息公开工作被申请行政复议、提起行政诉讼情况</w:t>
      </w:r>
    </w:p>
    <w:p w:rsidR="005372A3" w:rsidRDefault="005372A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 w:rsidR="005372A3">
        <w:trPr>
          <w:jc w:val="center"/>
        </w:trPr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6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行政诉讼</w:t>
            </w:r>
          </w:p>
        </w:tc>
      </w:tr>
      <w:tr w:rsidR="005372A3">
        <w:trPr>
          <w:jc w:val="center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复议后起诉</w:t>
            </w:r>
          </w:p>
        </w:tc>
      </w:tr>
      <w:tr w:rsidR="005372A3">
        <w:trPr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5372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DA377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5372A3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2A3" w:rsidRDefault="008352B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0</w:t>
            </w:r>
          </w:p>
        </w:tc>
      </w:tr>
    </w:tbl>
    <w:p w:rsidR="005372A3" w:rsidRDefault="005372A3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5372A3" w:rsidRDefault="00DA3777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五、政府信息公开工作存在的问题及改进情况</w:t>
      </w:r>
    </w:p>
    <w:p w:rsidR="00DC7847" w:rsidRPr="00DC7847" w:rsidRDefault="00DC7847" w:rsidP="00DC784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C7847">
        <w:rPr>
          <w:rFonts w:ascii="仿宋_GB2312" w:eastAsia="仿宋_GB2312" w:hAnsi="仿宋_GB2312" w:cs="仿宋_GB2312" w:hint="eastAsia"/>
          <w:sz w:val="32"/>
          <w:szCs w:val="32"/>
        </w:rPr>
        <w:t>政府信息公开过程中，档案工作宣传力度和档案工作社会影响力有待于进一步加强；政府信息公开的渠道有待于进一步扩展丰富，新媒体运用单一。</w:t>
      </w:r>
    </w:p>
    <w:p w:rsidR="005372A3" w:rsidRPr="008352BC" w:rsidRDefault="00DC7847" w:rsidP="00DC784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下一步，</w:t>
      </w:r>
      <w:r w:rsidRPr="00DC7847">
        <w:rPr>
          <w:rFonts w:ascii="仿宋_GB2312" w:eastAsia="仿宋_GB2312" w:hAnsi="仿宋_GB2312" w:cs="仿宋_GB2312" w:hint="eastAsia"/>
          <w:sz w:val="32"/>
          <w:szCs w:val="32"/>
        </w:rPr>
        <w:t>我们将密切关注重大历史题材和社会热点，开辟宣传专题，进一步加大档案工作宣传力度，切实提升档案工作的影响力。把政务公开当作一项重要工作，定期开展督查，发现问题及时整改。加强信息公开队伍建设，积极开展相关业务培训，提高工作人员业务水平和综合素质。</w:t>
      </w:r>
    </w:p>
    <w:p w:rsidR="005372A3" w:rsidRDefault="00DA3777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:rsidR="005372A3" w:rsidRDefault="008352BC" w:rsidP="008352B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DC7847" w:rsidRDefault="00DC7847" w:rsidP="00DC784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C7847" w:rsidRDefault="00DC7847" w:rsidP="00DC784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C7847" w:rsidRDefault="00DC7847" w:rsidP="00DC7847">
      <w:pPr>
        <w:wordWrap w:val="0"/>
        <w:adjustRightInd w:val="0"/>
        <w:snapToGrid w:val="0"/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开发区·铁山区档案馆      </w:t>
      </w:r>
    </w:p>
    <w:p w:rsidR="00DC7847" w:rsidRDefault="00DC7847" w:rsidP="00DC7847">
      <w:pPr>
        <w:wordWrap w:val="0"/>
        <w:adjustRightInd w:val="0"/>
        <w:snapToGrid w:val="0"/>
        <w:spacing w:line="360" w:lineRule="auto"/>
        <w:ind w:firstLineChars="200" w:firstLine="640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2021年1月27日       </w:t>
      </w:r>
    </w:p>
    <w:sectPr w:rsidR="00DC784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CE" w:rsidRDefault="005D24CE">
      <w:r>
        <w:separator/>
      </w:r>
    </w:p>
  </w:endnote>
  <w:endnote w:type="continuationSeparator" w:id="0">
    <w:p w:rsidR="005D24CE" w:rsidRDefault="005D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2A3" w:rsidRDefault="00DA3777">
    <w:pPr>
      <w:pStyle w:val="a3"/>
      <w:framePr w:wrap="around" w:vAnchor="text" w:hAnchor="margin" w:xAlign="center" w:yAlign="top"/>
    </w:pPr>
    <w:r>
      <w:fldChar w:fldCharType="begin"/>
    </w:r>
    <w:r>
      <w:instrText xml:space="preserve"> PAGE  </w:instrText>
    </w:r>
    <w:r>
      <w:fldChar w:fldCharType="separate"/>
    </w:r>
    <w:r w:rsidR="00F00468">
      <w:rPr>
        <w:noProof/>
      </w:rPr>
      <w:t>4</w:t>
    </w:r>
    <w:r>
      <w:fldChar w:fldCharType="end"/>
    </w:r>
  </w:p>
  <w:p w:rsidR="005372A3" w:rsidRDefault="005372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CE" w:rsidRDefault="005D24CE">
      <w:r>
        <w:separator/>
      </w:r>
    </w:p>
  </w:footnote>
  <w:footnote w:type="continuationSeparator" w:id="0">
    <w:p w:rsidR="005D24CE" w:rsidRDefault="005D2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1409C"/>
    <w:rsid w:val="005372A3"/>
    <w:rsid w:val="005D24CE"/>
    <w:rsid w:val="008352BC"/>
    <w:rsid w:val="00DA3777"/>
    <w:rsid w:val="00DC7847"/>
    <w:rsid w:val="00F00468"/>
    <w:rsid w:val="2271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289</Words>
  <Characters>1648</Characters>
  <Application>Microsoft Office Word</Application>
  <DocSecurity>0</DocSecurity>
  <Lines>13</Lines>
  <Paragraphs>3</Paragraphs>
  <ScaleCrop>false</ScaleCrop>
  <Company>微软中国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</dc:creator>
  <cp:lastModifiedBy>微软用户</cp:lastModifiedBy>
  <cp:revision>3</cp:revision>
  <dcterms:created xsi:type="dcterms:W3CDTF">2021-01-04T05:05:00Z</dcterms:created>
  <dcterms:modified xsi:type="dcterms:W3CDTF">2021-01-27T08:39:00Z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